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3740F1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PVY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>Explanation for the differ</w:t>
      </w:r>
      <w:r w:rsidR="00F02E19">
        <w:rPr>
          <w:rFonts w:ascii="Arial" w:hAnsi="Arial" w:cs="Arial"/>
          <w:b/>
          <w:sz w:val="20"/>
          <w:szCs w:val="20"/>
        </w:rPr>
        <w:t>ence</w:t>
      </w:r>
      <w:r w:rsidR="00BC16A6">
        <w:rPr>
          <w:rFonts w:ascii="Arial" w:hAnsi="Arial" w:cs="Arial"/>
          <w:b/>
          <w:sz w:val="20"/>
          <w:szCs w:val="20"/>
        </w:rPr>
        <w:t xml:space="preserve"> </w:t>
      </w:r>
      <w:r w:rsidR="00F02E19">
        <w:rPr>
          <w:rFonts w:ascii="Arial" w:hAnsi="Arial" w:cs="Arial"/>
          <w:b/>
          <w:sz w:val="20"/>
          <w:szCs w:val="20"/>
        </w:rPr>
        <w:t>in financial statement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>2019 year on year</w:t>
      </w:r>
    </w:p>
    <w:p w:rsidR="003740F1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3740F1">
        <w:rPr>
          <w:rFonts w:ascii="Arial" w:hAnsi="Arial" w:cs="Arial"/>
          <w:sz w:val="20"/>
          <w:szCs w:val="20"/>
        </w:rPr>
        <w:t>08 Apr</w:t>
      </w:r>
      <w:r w:rsidR="00A62855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40F1" w:rsidRPr="003740F1">
        <w:rPr>
          <w:rFonts w:ascii="Arial" w:hAnsi="Arial" w:cs="Arial"/>
          <w:sz w:val="20"/>
          <w:szCs w:val="20"/>
        </w:rPr>
        <w:t>Petrovietnam</w:t>
      </w:r>
      <w:proofErr w:type="spellEnd"/>
      <w:r w:rsidR="003740F1" w:rsidRPr="003740F1">
        <w:rPr>
          <w:rFonts w:ascii="Arial" w:hAnsi="Arial" w:cs="Arial"/>
          <w:sz w:val="20"/>
          <w:szCs w:val="20"/>
        </w:rPr>
        <w:t xml:space="preserve"> Marine Shipyard Joint Stock Company</w:t>
      </w:r>
      <w:r w:rsidR="003740F1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difference</w:t>
      </w:r>
      <w:r w:rsidR="00BC16A6">
        <w:rPr>
          <w:rFonts w:ascii="Arial" w:hAnsi="Arial" w:cs="Arial"/>
          <w:sz w:val="20"/>
          <w:szCs w:val="20"/>
        </w:rPr>
        <w:t xml:space="preserve"> </w:t>
      </w:r>
      <w:r w:rsidR="00F02E19">
        <w:rPr>
          <w:rFonts w:ascii="Arial" w:hAnsi="Arial" w:cs="Arial"/>
          <w:sz w:val="20"/>
          <w:szCs w:val="20"/>
        </w:rPr>
        <w:t>in financial statement of</w:t>
      </w:r>
      <w:r w:rsidR="00026B30" w:rsidRPr="00026B30">
        <w:rPr>
          <w:rFonts w:ascii="Arial" w:hAnsi="Arial" w:cs="Arial"/>
          <w:sz w:val="20"/>
          <w:szCs w:val="20"/>
        </w:rPr>
        <w:t xml:space="preserve"> 2019 year on year</w:t>
      </w:r>
      <w:r w:rsidR="00467BC0">
        <w:rPr>
          <w:rFonts w:ascii="Arial" w:hAnsi="Arial" w:cs="Arial"/>
          <w:sz w:val="20"/>
          <w:szCs w:val="20"/>
        </w:rPr>
        <w:t xml:space="preserve"> as follows:</w:t>
      </w:r>
      <w:r w:rsidR="003740F1" w:rsidRPr="003740F1">
        <w:rPr>
          <w:rFonts w:ascii="Arial" w:hAnsi="Arial" w:cs="Arial"/>
          <w:sz w:val="20"/>
          <w:szCs w:val="20"/>
        </w:rPr>
        <w:t xml:space="preserve"> </w:t>
      </w:r>
    </w:p>
    <w:p w:rsidR="00BC16A6" w:rsidRDefault="003740F1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Unit: </w:t>
      </w:r>
      <w:r w:rsidRPr="003740F1">
        <w:rPr>
          <w:rFonts w:ascii="Arial" w:hAnsi="Arial" w:cs="Arial"/>
          <w:sz w:val="20"/>
          <w:szCs w:val="20"/>
        </w:rPr>
        <w:t>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2545"/>
        <w:gridCol w:w="1740"/>
        <w:gridCol w:w="1740"/>
        <w:gridCol w:w="1608"/>
        <w:gridCol w:w="1470"/>
      </w:tblGrid>
      <w:tr w:rsidR="003740F1" w:rsidTr="003740F1">
        <w:tc>
          <w:tcPr>
            <w:tcW w:w="473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89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</w:t>
            </w:r>
          </w:p>
        </w:tc>
        <w:tc>
          <w:tcPr>
            <w:tcW w:w="1583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Year 2019</w:t>
            </w:r>
          </w:p>
        </w:tc>
        <w:tc>
          <w:tcPr>
            <w:tcW w:w="1577" w:type="dxa"/>
          </w:tcPr>
          <w:p w:rsidR="003740F1" w:rsidRDefault="003740F1" w:rsidP="00481B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2018</w:t>
            </w:r>
          </w:p>
        </w:tc>
        <w:tc>
          <w:tcPr>
            <w:tcW w:w="1577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Difference</w:t>
            </w:r>
          </w:p>
        </w:tc>
        <w:tc>
          <w:tcPr>
            <w:tcW w:w="1577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+ / -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3740F1" w:rsidTr="003740F1">
        <w:tc>
          <w:tcPr>
            <w:tcW w:w="473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Profit after</w:t>
            </w:r>
            <w:r>
              <w:rPr>
                <w:rFonts w:ascii="Arial" w:hAnsi="Arial" w:cs="Arial"/>
                <w:sz w:val="20"/>
                <w:szCs w:val="20"/>
              </w:rPr>
              <w:t xml:space="preserve"> tax</w:t>
            </w:r>
          </w:p>
        </w:tc>
        <w:tc>
          <w:tcPr>
            <w:tcW w:w="1583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(50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887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011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814)</w:t>
            </w:r>
          </w:p>
        </w:tc>
        <w:tc>
          <w:tcPr>
            <w:tcW w:w="1577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0F1">
              <w:rPr>
                <w:rFonts w:ascii="Arial" w:hAnsi="Arial" w:cs="Arial"/>
                <w:sz w:val="20"/>
                <w:szCs w:val="20"/>
              </w:rPr>
              <w:t>(65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498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980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0F1">
              <w:rPr>
                <w:rFonts w:ascii="Arial" w:hAnsi="Arial" w:cs="Arial"/>
                <w:sz w:val="20"/>
                <w:szCs w:val="20"/>
              </w:rPr>
              <w:t>287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7" w:type="dxa"/>
          </w:tcPr>
          <w:p w:rsidR="003740F1" w:rsidRDefault="003740F1" w:rsidP="003740F1">
            <w:pPr>
              <w:pStyle w:val="NoSpacing"/>
            </w:pPr>
            <w:r w:rsidRPr="003740F1">
              <w:t>14</w:t>
            </w:r>
            <w:r>
              <w:t>,</w:t>
            </w:r>
            <w:r w:rsidRPr="003740F1">
              <w:t>611</w:t>
            </w:r>
            <w:r>
              <w:t>,</w:t>
            </w:r>
            <w:r w:rsidRPr="003740F1">
              <w:t>968</w:t>
            </w:r>
            <w:r>
              <w:t>,</w:t>
            </w:r>
            <w:r w:rsidRPr="003740F1">
              <w:t>473</w:t>
            </w:r>
          </w:p>
        </w:tc>
        <w:tc>
          <w:tcPr>
            <w:tcW w:w="1577" w:type="dxa"/>
          </w:tcPr>
          <w:p w:rsidR="003740F1" w:rsidRDefault="003740F1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+ 22.</w:t>
            </w:r>
            <w:r w:rsidRPr="003740F1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</w:tbl>
    <w:p w:rsidR="003740F1" w:rsidRDefault="003740F1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D5B" w:rsidRDefault="003740F1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0F1">
        <w:rPr>
          <w:rFonts w:ascii="Arial" w:hAnsi="Arial" w:cs="Arial"/>
          <w:sz w:val="20"/>
          <w:szCs w:val="20"/>
        </w:rPr>
        <w:t xml:space="preserve">The reason for </w:t>
      </w:r>
      <w:r>
        <w:rPr>
          <w:rFonts w:ascii="Arial" w:hAnsi="Arial" w:cs="Arial"/>
          <w:sz w:val="20"/>
          <w:szCs w:val="20"/>
        </w:rPr>
        <w:t>increase of</w:t>
      </w:r>
      <w:r w:rsidRPr="003740F1">
        <w:rPr>
          <w:rFonts w:ascii="Arial" w:hAnsi="Arial" w:cs="Arial"/>
          <w:sz w:val="20"/>
          <w:szCs w:val="20"/>
        </w:rPr>
        <w:t xml:space="preserve"> more than 10%</w:t>
      </w:r>
      <w:r>
        <w:rPr>
          <w:rFonts w:ascii="Arial" w:hAnsi="Arial" w:cs="Arial"/>
          <w:sz w:val="20"/>
          <w:szCs w:val="20"/>
        </w:rPr>
        <w:t xml:space="preserve"> in</w:t>
      </w:r>
      <w:r w:rsidRPr="003740F1">
        <w:rPr>
          <w:rFonts w:ascii="Arial" w:hAnsi="Arial" w:cs="Arial"/>
          <w:sz w:val="20"/>
          <w:szCs w:val="20"/>
        </w:rPr>
        <w:t xml:space="preserve"> </w:t>
      </w:r>
      <w:r w:rsidRPr="003740F1">
        <w:rPr>
          <w:rFonts w:ascii="Arial" w:hAnsi="Arial" w:cs="Arial"/>
          <w:sz w:val="20"/>
          <w:szCs w:val="20"/>
        </w:rPr>
        <w:t xml:space="preserve">the 2019 profit after tax </w:t>
      </w:r>
      <w:r>
        <w:rPr>
          <w:rFonts w:ascii="Arial" w:hAnsi="Arial" w:cs="Arial"/>
          <w:sz w:val="20"/>
          <w:szCs w:val="20"/>
        </w:rPr>
        <w:t xml:space="preserve">compared to 2018: </w:t>
      </w:r>
      <w:r w:rsidRPr="003740F1">
        <w:rPr>
          <w:rFonts w:ascii="Arial" w:hAnsi="Arial" w:cs="Arial"/>
          <w:sz w:val="20"/>
          <w:szCs w:val="20"/>
        </w:rPr>
        <w:t>basicall</w:t>
      </w:r>
      <w:r>
        <w:rPr>
          <w:rFonts w:ascii="Arial" w:hAnsi="Arial" w:cs="Arial"/>
          <w:sz w:val="20"/>
          <w:szCs w:val="20"/>
        </w:rPr>
        <w:t xml:space="preserve">y because the </w:t>
      </w:r>
      <w:r w:rsidRPr="003740F1">
        <w:rPr>
          <w:rFonts w:ascii="Arial" w:hAnsi="Arial" w:cs="Arial"/>
          <w:sz w:val="20"/>
          <w:szCs w:val="20"/>
        </w:rPr>
        <w:t>strengthen</w:t>
      </w:r>
      <w:r>
        <w:rPr>
          <w:rFonts w:ascii="Arial" w:hAnsi="Arial" w:cs="Arial"/>
          <w:sz w:val="20"/>
          <w:szCs w:val="20"/>
        </w:rPr>
        <w:t>ed</w:t>
      </w:r>
      <w:r w:rsidRPr="003740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3740F1">
        <w:rPr>
          <w:rFonts w:ascii="Arial" w:hAnsi="Arial" w:cs="Arial"/>
          <w:sz w:val="20"/>
          <w:szCs w:val="20"/>
        </w:rPr>
        <w:t>management and more closely supervise</w:t>
      </w:r>
      <w:r>
        <w:rPr>
          <w:rFonts w:ascii="Arial" w:hAnsi="Arial" w:cs="Arial"/>
          <w:sz w:val="20"/>
          <w:szCs w:val="20"/>
        </w:rPr>
        <w:t>d the thrift against waste. A</w:t>
      </w:r>
      <w:r w:rsidRPr="003740F1">
        <w:rPr>
          <w:rFonts w:ascii="Arial" w:hAnsi="Arial" w:cs="Arial"/>
          <w:sz w:val="20"/>
          <w:szCs w:val="20"/>
        </w:rPr>
        <w:t>t the same time, projects and biddi</w:t>
      </w:r>
      <w:r>
        <w:rPr>
          <w:rFonts w:ascii="Arial" w:hAnsi="Arial" w:cs="Arial"/>
          <w:sz w:val="20"/>
          <w:szCs w:val="20"/>
        </w:rPr>
        <w:t>ng packages implemented by the Company were</w:t>
      </w:r>
      <w:r w:rsidRPr="003740F1">
        <w:rPr>
          <w:rFonts w:ascii="Arial" w:hAnsi="Arial" w:cs="Arial"/>
          <w:sz w:val="20"/>
          <w:szCs w:val="20"/>
        </w:rPr>
        <w:t xml:space="preserve"> hand</w:t>
      </w:r>
      <w:r>
        <w:rPr>
          <w:rFonts w:ascii="Arial" w:hAnsi="Arial" w:cs="Arial"/>
          <w:sz w:val="20"/>
          <w:szCs w:val="20"/>
        </w:rPr>
        <w:t>ed over on schedule and quality was</w:t>
      </w:r>
      <w:r w:rsidRPr="003740F1">
        <w:rPr>
          <w:rFonts w:ascii="Arial" w:hAnsi="Arial" w:cs="Arial"/>
          <w:sz w:val="20"/>
          <w:szCs w:val="20"/>
        </w:rPr>
        <w:t xml:space="preserve"> satisfied </w:t>
      </w:r>
      <w:r>
        <w:rPr>
          <w:rFonts w:ascii="Arial" w:hAnsi="Arial" w:cs="Arial"/>
          <w:sz w:val="20"/>
          <w:szCs w:val="20"/>
        </w:rPr>
        <w:t xml:space="preserve">and appreciated </w:t>
      </w:r>
      <w:r w:rsidRPr="003740F1">
        <w:rPr>
          <w:rFonts w:ascii="Arial" w:hAnsi="Arial" w:cs="Arial"/>
          <w:sz w:val="20"/>
          <w:szCs w:val="20"/>
        </w:rPr>
        <w:t>by investors, general</w:t>
      </w:r>
      <w:r>
        <w:rPr>
          <w:rFonts w:ascii="Arial" w:hAnsi="Arial" w:cs="Arial"/>
          <w:sz w:val="20"/>
          <w:szCs w:val="20"/>
        </w:rPr>
        <w:t xml:space="preserve"> contractors. </w:t>
      </w:r>
      <w:r w:rsidRPr="003740F1">
        <w:rPr>
          <w:rFonts w:ascii="Arial" w:hAnsi="Arial" w:cs="Arial"/>
          <w:sz w:val="20"/>
          <w:szCs w:val="20"/>
        </w:rPr>
        <w:t xml:space="preserve">The company continued to promote services such as: anchoring wharves, manufacturing yards for many units inside and outside the industry to improve the efficiency of using facilities and bringing </w:t>
      </w:r>
      <w:r>
        <w:rPr>
          <w:rFonts w:ascii="Arial" w:hAnsi="Arial" w:cs="Arial"/>
          <w:sz w:val="20"/>
          <w:szCs w:val="20"/>
        </w:rPr>
        <w:t>profit. The b</w:t>
      </w:r>
      <w:r w:rsidRPr="003740F1">
        <w:rPr>
          <w:rFonts w:ascii="Arial" w:hAnsi="Arial" w:cs="Arial"/>
          <w:sz w:val="20"/>
          <w:szCs w:val="20"/>
        </w:rPr>
        <w:t>usiness development, seeking customers continue</w:t>
      </w:r>
      <w:r>
        <w:rPr>
          <w:rFonts w:ascii="Arial" w:hAnsi="Arial" w:cs="Arial"/>
          <w:sz w:val="20"/>
          <w:szCs w:val="20"/>
        </w:rPr>
        <w:t>d to be effective in 2019. The C</w:t>
      </w:r>
      <w:r w:rsidRPr="003740F1">
        <w:rPr>
          <w:rFonts w:ascii="Arial" w:hAnsi="Arial" w:cs="Arial"/>
          <w:sz w:val="20"/>
          <w:szCs w:val="20"/>
        </w:rPr>
        <w:t>ompany signed 06 new manufactur</w:t>
      </w:r>
      <w:r>
        <w:rPr>
          <w:rFonts w:ascii="Arial" w:hAnsi="Arial" w:cs="Arial"/>
          <w:sz w:val="20"/>
          <w:szCs w:val="20"/>
        </w:rPr>
        <w:t>ing contracts with total value of</w:t>
      </w:r>
      <w:r w:rsidRPr="003740F1">
        <w:rPr>
          <w:rFonts w:ascii="Arial" w:hAnsi="Arial" w:cs="Arial"/>
          <w:sz w:val="20"/>
          <w:szCs w:val="20"/>
        </w:rPr>
        <w:t xml:space="preserve"> over VND 200 billion (excluding service supply contracts), ensuring the workload to maintain pro</w:t>
      </w:r>
      <w:r>
        <w:rPr>
          <w:rFonts w:ascii="Arial" w:hAnsi="Arial" w:cs="Arial"/>
          <w:sz w:val="20"/>
          <w:szCs w:val="20"/>
        </w:rPr>
        <w:t xml:space="preserve">duction activities. </w:t>
      </w:r>
      <w:r w:rsidRPr="003740F1">
        <w:rPr>
          <w:rFonts w:ascii="Arial" w:hAnsi="Arial" w:cs="Arial"/>
          <w:sz w:val="20"/>
          <w:szCs w:val="20"/>
        </w:rPr>
        <w:t xml:space="preserve">The Company started to have gross profit </w:t>
      </w:r>
      <w:r w:rsidR="00412D5B">
        <w:rPr>
          <w:rFonts w:ascii="Arial" w:hAnsi="Arial" w:cs="Arial"/>
          <w:sz w:val="20"/>
          <w:szCs w:val="20"/>
        </w:rPr>
        <w:t xml:space="preserve">from the </w:t>
      </w:r>
      <w:r w:rsidRPr="003740F1">
        <w:rPr>
          <w:rFonts w:ascii="Arial" w:hAnsi="Arial" w:cs="Arial"/>
          <w:sz w:val="20"/>
          <w:szCs w:val="20"/>
        </w:rPr>
        <w:t>business and continue</w:t>
      </w:r>
      <w:r w:rsidR="00412D5B">
        <w:rPr>
          <w:rFonts w:ascii="Arial" w:hAnsi="Arial" w:cs="Arial"/>
          <w:sz w:val="20"/>
          <w:szCs w:val="20"/>
        </w:rPr>
        <w:t>d</w:t>
      </w:r>
      <w:r w:rsidRPr="003740F1">
        <w:rPr>
          <w:rFonts w:ascii="Arial" w:hAnsi="Arial" w:cs="Arial"/>
          <w:sz w:val="20"/>
          <w:szCs w:val="20"/>
        </w:rPr>
        <w:t xml:space="preserve"> to pay part of the principal of the trus</w:t>
      </w:r>
      <w:r w:rsidR="00412D5B">
        <w:rPr>
          <w:rFonts w:ascii="Arial" w:hAnsi="Arial" w:cs="Arial"/>
          <w:sz w:val="20"/>
          <w:szCs w:val="20"/>
        </w:rPr>
        <w:t xml:space="preserve">ted loan managed by </w:t>
      </w:r>
      <w:proofErr w:type="spellStart"/>
      <w:r w:rsidR="00412D5B">
        <w:rPr>
          <w:rFonts w:ascii="Arial" w:hAnsi="Arial" w:cs="Arial"/>
          <w:sz w:val="20"/>
          <w:szCs w:val="20"/>
        </w:rPr>
        <w:t>PVCombank</w:t>
      </w:r>
      <w:proofErr w:type="spellEnd"/>
      <w:r w:rsidR="00412D5B">
        <w:rPr>
          <w:rFonts w:ascii="Arial" w:hAnsi="Arial" w:cs="Arial"/>
          <w:sz w:val="20"/>
          <w:szCs w:val="20"/>
        </w:rPr>
        <w:t>. The financial situation of the C</w:t>
      </w:r>
      <w:r w:rsidRPr="003740F1">
        <w:rPr>
          <w:rFonts w:ascii="Arial" w:hAnsi="Arial" w:cs="Arial"/>
          <w:sz w:val="20"/>
          <w:szCs w:val="20"/>
        </w:rPr>
        <w:t>ompany prospered and</w:t>
      </w:r>
      <w:r w:rsidR="00412D5B">
        <w:rPr>
          <w:rFonts w:ascii="Arial" w:hAnsi="Arial" w:cs="Arial"/>
          <w:sz w:val="20"/>
          <w:szCs w:val="20"/>
        </w:rPr>
        <w:t xml:space="preserve"> was</w:t>
      </w:r>
      <w:r w:rsidRPr="003740F1">
        <w:rPr>
          <w:rFonts w:ascii="Arial" w:hAnsi="Arial" w:cs="Arial"/>
          <w:sz w:val="20"/>
          <w:szCs w:val="20"/>
        </w:rPr>
        <w:t xml:space="preserve"> le</w:t>
      </w:r>
      <w:r w:rsidR="00412D5B">
        <w:rPr>
          <w:rFonts w:ascii="Arial" w:hAnsi="Arial" w:cs="Arial"/>
          <w:sz w:val="20"/>
          <w:szCs w:val="20"/>
        </w:rPr>
        <w:t>ss difficult than 02 years ago</w:t>
      </w:r>
    </w:p>
    <w:p w:rsidR="003740F1" w:rsidRDefault="00412D5B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Currently, the C</w:t>
      </w:r>
      <w:r w:rsidR="003740F1" w:rsidRPr="003740F1">
        <w:rPr>
          <w:rFonts w:ascii="Arial" w:hAnsi="Arial" w:cs="Arial"/>
          <w:sz w:val="20"/>
          <w:szCs w:val="20"/>
        </w:rPr>
        <w:t>ompany continues its efforts to overcome difficulties, boosting revenue in the fields of work with low</w:t>
      </w:r>
      <w:r>
        <w:rPr>
          <w:rFonts w:ascii="Arial" w:hAnsi="Arial" w:cs="Arial"/>
          <w:sz w:val="20"/>
          <w:szCs w:val="20"/>
        </w:rPr>
        <w:t xml:space="preserve"> direct costs and high profits, g</w:t>
      </w:r>
      <w:r w:rsidR="003740F1" w:rsidRPr="003740F1">
        <w:rPr>
          <w:rFonts w:ascii="Arial" w:hAnsi="Arial" w:cs="Arial"/>
          <w:sz w:val="20"/>
          <w:szCs w:val="20"/>
        </w:rPr>
        <w:t xml:space="preserve">radually </w:t>
      </w:r>
      <w:r w:rsidRPr="003740F1">
        <w:rPr>
          <w:rFonts w:ascii="Arial" w:hAnsi="Arial" w:cs="Arial"/>
          <w:sz w:val="20"/>
          <w:szCs w:val="20"/>
        </w:rPr>
        <w:t>offset</w:t>
      </w:r>
      <w:r>
        <w:rPr>
          <w:rFonts w:ascii="Arial" w:hAnsi="Arial" w:cs="Arial"/>
          <w:sz w:val="20"/>
          <w:szCs w:val="20"/>
        </w:rPr>
        <w:t>ting</w:t>
      </w:r>
      <w:r w:rsidR="003740F1" w:rsidRPr="003740F1">
        <w:rPr>
          <w:rFonts w:ascii="Arial" w:hAnsi="Arial" w:cs="Arial"/>
          <w:sz w:val="20"/>
          <w:szCs w:val="20"/>
        </w:rPr>
        <w:t xml:space="preserve"> fixed costs to gradually approach the break-even point and make business acti</w:t>
      </w:r>
      <w:r>
        <w:rPr>
          <w:rFonts w:ascii="Arial" w:hAnsi="Arial" w:cs="Arial"/>
          <w:sz w:val="20"/>
          <w:szCs w:val="20"/>
        </w:rPr>
        <w:t>vities</w:t>
      </w:r>
      <w:r w:rsidRPr="00412D5B">
        <w:rPr>
          <w:rFonts w:ascii="Arial" w:hAnsi="Arial" w:cs="Arial"/>
          <w:sz w:val="20"/>
          <w:szCs w:val="20"/>
        </w:rPr>
        <w:t xml:space="preserve"> </w:t>
      </w:r>
      <w:r w:rsidRPr="003740F1">
        <w:rPr>
          <w:rFonts w:ascii="Arial" w:hAnsi="Arial" w:cs="Arial"/>
          <w:sz w:val="20"/>
          <w:szCs w:val="20"/>
        </w:rPr>
        <w:t>profitable</w:t>
      </w:r>
      <w:bookmarkStart w:id="0" w:name="_GoBack"/>
      <w:bookmarkEnd w:id="0"/>
    </w:p>
    <w:sectPr w:rsidR="0037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34DA"/>
    <w:rsid w:val="00026B30"/>
    <w:rsid w:val="00041B1A"/>
    <w:rsid w:val="000A79D8"/>
    <w:rsid w:val="000E15ED"/>
    <w:rsid w:val="00125C9D"/>
    <w:rsid w:val="001654BA"/>
    <w:rsid w:val="00244C92"/>
    <w:rsid w:val="0026711C"/>
    <w:rsid w:val="00293FEB"/>
    <w:rsid w:val="002B59F4"/>
    <w:rsid w:val="00303E63"/>
    <w:rsid w:val="00330005"/>
    <w:rsid w:val="00346788"/>
    <w:rsid w:val="003740F1"/>
    <w:rsid w:val="003A771E"/>
    <w:rsid w:val="003B2570"/>
    <w:rsid w:val="00412D5B"/>
    <w:rsid w:val="00467BC0"/>
    <w:rsid w:val="00496733"/>
    <w:rsid w:val="004C7900"/>
    <w:rsid w:val="005B0276"/>
    <w:rsid w:val="005E7D00"/>
    <w:rsid w:val="00695103"/>
    <w:rsid w:val="006E13A2"/>
    <w:rsid w:val="00701F46"/>
    <w:rsid w:val="007028B7"/>
    <w:rsid w:val="00745D9A"/>
    <w:rsid w:val="007F7DB7"/>
    <w:rsid w:val="008078B6"/>
    <w:rsid w:val="0088081B"/>
    <w:rsid w:val="008854CF"/>
    <w:rsid w:val="00887C3A"/>
    <w:rsid w:val="00981C95"/>
    <w:rsid w:val="00A62855"/>
    <w:rsid w:val="00A81EB3"/>
    <w:rsid w:val="00AA01BA"/>
    <w:rsid w:val="00AF67BE"/>
    <w:rsid w:val="00B40E78"/>
    <w:rsid w:val="00BC16A6"/>
    <w:rsid w:val="00C324E9"/>
    <w:rsid w:val="00C72FFB"/>
    <w:rsid w:val="00CA6F06"/>
    <w:rsid w:val="00CC15D8"/>
    <w:rsid w:val="00E11EBD"/>
    <w:rsid w:val="00E36A48"/>
    <w:rsid w:val="00ED31AF"/>
    <w:rsid w:val="00F02E19"/>
    <w:rsid w:val="00F163FC"/>
    <w:rsid w:val="00F655B9"/>
    <w:rsid w:val="00F85153"/>
    <w:rsid w:val="00F9058F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4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4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58</cp:revision>
  <dcterms:created xsi:type="dcterms:W3CDTF">2019-10-16T10:03:00Z</dcterms:created>
  <dcterms:modified xsi:type="dcterms:W3CDTF">2020-04-08T11:50:00Z</dcterms:modified>
</cp:coreProperties>
</file>